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COMUNE DI _____________________</w:t>
      </w:r>
    </w:p>
    <w:p>
      <w:pPr>
        <w:jc w:val="center"/>
      </w:pPr>
      <w:r>
        <w:t>(Provincia di ____________)</w:t>
      </w:r>
    </w:p>
    <w:p>
      <w:pPr>
        <w:jc w:val="center"/>
      </w:pPr>
      <w:r>
        <w:rPr>
          <w:i/>
        </w:rPr>
        <w:t>Settore Personale — Documento operativo</w:t>
      </w:r>
    </w:p>
    <w:p/>
    <w:p>
      <w:pPr>
        <w:jc w:val="center"/>
      </w:pPr>
      <w:r>
        <w:rPr>
          <w:b/>
          <w:sz w:val="26"/>
        </w:rPr>
        <w:t>CHECKLIST DELLA PROCEDURA DI RECLUTAMENTO</w:t>
      </w:r>
    </w:p>
    <w:p>
      <w:pPr>
        <w:jc w:val="center"/>
      </w:pPr>
      <w:r>
        <w:rPr>
          <w:i/>
        </w:rPr>
        <w:t>Specialista nei rapporti con i media, giornalista pubblico (settore informazione) — Area dei funzionari e dell'elevata qualificazione</w:t>
      </w:r>
    </w:p>
    <w:p/>
    <w:p>
      <w:pPr>
        <w:jc w:val="both"/>
      </w:pPr>
      <w:r>
        <w:t>Riferimento normativo: Legge 150/2000, DPR 422/2001, D.Lgs. 165/2001, DPR 487/1994, CCNL Funzioni Locali 2019-2022, Protocollo ANCI-FNSI 28/01/2026, Quaderno Operativo ANCI n. 60 — Febbraio 2026.</w:t>
      </w:r>
    </w:p>
    <w:p>
      <w:r>
        <w:rPr>
          <w:b/>
          <w:color w:val="991B1E"/>
          <w:sz w:val="26"/>
        </w:rPr>
        <w:t>FASE 1 — PROGRAMMAZIONE</w:t>
      </w:r>
    </w:p>
    <w:p>
      <w:pPr>
        <w:pStyle w:val="ListBullet"/>
      </w:pPr>
      <w:r>
        <w:t>[ ] Approvazione/aggiornamento del Piano Triennale dei Fabbisogni di Personale (delibera di Giunta)</w:t>
      </w:r>
    </w:p>
    <w:p>
      <w:pPr>
        <w:pStyle w:val="ListBullet"/>
      </w:pPr>
      <w:r>
        <w:t>[ ] Verifica della copertura finanziaria nel Bilancio di previsione</w:t>
      </w:r>
    </w:p>
    <w:p>
      <w:pPr>
        <w:pStyle w:val="ListBullet"/>
      </w:pPr>
      <w:r>
        <w:t>[ ] Verifica del rispetto dei limiti di spesa di personale (art. 33 D.L. 34/2019)</w:t>
      </w:r>
    </w:p>
    <w:p>
      <w:pPr>
        <w:pStyle w:val="ListBullet"/>
      </w:pPr>
      <w:r>
        <w:t>[ ] Definizione del profilo professionale e del trattamento economico</w:t>
      </w:r>
    </w:p>
    <w:p>
      <w:r>
        <w:rPr>
          <w:b/>
          <w:color w:val="991B1E"/>
          <w:sz w:val="26"/>
        </w:rPr>
        <w:t>FASE 2 — PROCEDURE PRELIMINARI OBBLIGATORIE</w:t>
      </w:r>
    </w:p>
    <w:p>
      <w:pPr>
        <w:pStyle w:val="ListBullet"/>
      </w:pPr>
      <w:r>
        <w:t>[ ] Comunicazione ex art. 34-bis D.Lgs. 165/2001 (Funzione Pubblica + Regione) — attesa 45 giorni</w:t>
      </w:r>
    </w:p>
    <w:p>
      <w:pPr>
        <w:pStyle w:val="ListBullet"/>
      </w:pPr>
      <w:r>
        <w:t>[ ] Avviso di mobilità ex art. 30 D.Lgs. 165/2001 — pubblicazione almeno 30 giorni</w:t>
      </w:r>
    </w:p>
    <w:p>
      <w:pPr>
        <w:pStyle w:val="ListBullet"/>
      </w:pPr>
      <w:r>
        <w:t>[ ] Solo in caso di esito negativo: avvio concorso pubblico</w:t>
      </w:r>
    </w:p>
    <w:p>
      <w:r>
        <w:rPr>
          <w:b/>
          <w:color w:val="991B1E"/>
          <w:sz w:val="26"/>
        </w:rPr>
        <w:t>FASE 3 — APPROVAZIONE BANDO</w:t>
      </w:r>
    </w:p>
    <w:p>
      <w:pPr>
        <w:pStyle w:val="ListBullet"/>
      </w:pPr>
      <w:r>
        <w:t>[ ] Predisposizione del bando di concorso (conforme Quaderno ANCI n. 60)</w:t>
      </w:r>
    </w:p>
    <w:p>
      <w:pPr>
        <w:pStyle w:val="ListBullet"/>
      </w:pPr>
      <w:r>
        <w:t>[ ] Predisposizione dello schema di domanda e dell'informativa privacy</w:t>
      </w:r>
    </w:p>
    <w:p>
      <w:pPr>
        <w:pStyle w:val="ListBullet"/>
      </w:pPr>
      <w:r>
        <w:t>[ ] Determina di approvazione del bando con visto di regolarità contabile</w:t>
      </w:r>
    </w:p>
    <w:p>
      <w:pPr>
        <w:pStyle w:val="ListBullet"/>
      </w:pPr>
      <w:r>
        <w:t>[ ] Pubblicazione: Portale inPA + sito Comune + Albo Pretorio + estratto GU IV Serie Speciale</w:t>
      </w:r>
    </w:p>
    <w:p>
      <w:pPr>
        <w:pStyle w:val="ListBullet"/>
      </w:pPr>
      <w:r>
        <w:t>[ ] Termine domande: 15 giorni dalla pubblicazione sul Portale inPA</w:t>
      </w:r>
    </w:p>
    <w:p>
      <w:r>
        <w:rPr>
          <w:b/>
          <w:color w:val="991B1E"/>
          <w:sz w:val="26"/>
        </w:rPr>
        <w:t>FASE 4 — ISTRUTTORIA DOMANDE</w:t>
      </w:r>
    </w:p>
    <w:p>
      <w:pPr>
        <w:pStyle w:val="ListBullet"/>
      </w:pPr>
      <w:r>
        <w:t>[ ] Ricezione delle domande tramite Portale inPA</w:t>
      </w:r>
    </w:p>
    <w:p>
      <w:pPr>
        <w:pStyle w:val="ListBullet"/>
      </w:pPr>
      <w:r>
        <w:t>[ ] Verifica preliminare ammissibilità (requisiti generali + specifici)</w:t>
      </w:r>
    </w:p>
    <w:p>
      <w:pPr>
        <w:pStyle w:val="ListBullet"/>
      </w:pPr>
      <w:r>
        <w:t>[ ] Determina di ammissione/esclusione dei candidati</w:t>
      </w:r>
    </w:p>
    <w:p>
      <w:pPr>
        <w:pStyle w:val="ListBullet"/>
      </w:pPr>
      <w:r>
        <w:t>[ ] Comunicazione esiti sul Portale inPA e sito Comune</w:t>
      </w:r>
    </w:p>
    <w:p>
      <w:r>
        <w:rPr>
          <w:b/>
          <w:color w:val="991B1E"/>
          <w:sz w:val="26"/>
        </w:rPr>
        <w:t>FASE 5 — NOMINA E INSEDIAMENTO COMMISSIONE</w:t>
      </w:r>
    </w:p>
    <w:p>
      <w:pPr>
        <w:pStyle w:val="ListBullet"/>
      </w:pPr>
      <w:r>
        <w:t>[ ] Determina di nomina della Commissione esaminatrice (con giornalista iscritto ≥10 anni)</w:t>
      </w:r>
    </w:p>
    <w:p>
      <w:pPr>
        <w:pStyle w:val="ListBullet"/>
      </w:pPr>
      <w:r>
        <w:t>[ ] Acquisizione dichiarazioni di assenza di incompatibilità ex art. 35-bis D.Lgs. 165/2001</w:t>
      </w:r>
    </w:p>
    <w:p>
      <w:pPr>
        <w:pStyle w:val="ListBullet"/>
      </w:pPr>
      <w:r>
        <w:t>[ ] Verbale n. 1 — insediamento, criteri di valutazione, calendario prove</w:t>
      </w:r>
    </w:p>
    <w:p>
      <w:r>
        <w:rPr>
          <w:b/>
          <w:color w:val="991B1E"/>
          <w:sz w:val="26"/>
        </w:rPr>
        <w:t>FASE 6 — SVOLGIMENTO PROVE</w:t>
      </w:r>
    </w:p>
    <w:p>
      <w:pPr>
        <w:pStyle w:val="ListBullet"/>
      </w:pPr>
      <w:r>
        <w:t>[ ] Eventuale prova preselettiva (in caso di numero elevato di candidati)</w:t>
      </w:r>
    </w:p>
    <w:p>
      <w:pPr>
        <w:pStyle w:val="ListBullet"/>
      </w:pPr>
      <w:r>
        <w:t>[ ] Prova scritta teorico-pratica (soglia: 28/40) — verbale dedicato</w:t>
      </w:r>
    </w:p>
    <w:p>
      <w:pPr>
        <w:pStyle w:val="ListBullet"/>
      </w:pPr>
      <w:r>
        <w:t>[ ] Valutazione titoli (max 20 punti) — solo per i presenti alla scritta</w:t>
      </w:r>
    </w:p>
    <w:p>
      <w:pPr>
        <w:pStyle w:val="ListBullet"/>
      </w:pPr>
      <w:r>
        <w:t>[ ] Prova orale (soglia: 28/40) — in seduta pubblica, con integrazione specialisti lingue/informatica</w:t>
      </w:r>
    </w:p>
    <w:p>
      <w:pPr>
        <w:pStyle w:val="ListBullet"/>
      </w:pPr>
      <w:r>
        <w:t>[ ] Pubblicazione esiti sul Portale inPA e sito Comune</w:t>
      </w:r>
    </w:p>
    <w:p>
      <w:r>
        <w:rPr>
          <w:b/>
          <w:color w:val="991B1E"/>
          <w:sz w:val="26"/>
        </w:rPr>
        <w:t>FASE 7 — GRADUATORIA</w:t>
      </w:r>
    </w:p>
    <w:p>
      <w:pPr>
        <w:pStyle w:val="ListBullet"/>
      </w:pPr>
      <w:r>
        <w:t>[ ] Verbale conclusivo della Commissione con graduatoria finale di merito</w:t>
      </w:r>
    </w:p>
    <w:p>
      <w:pPr>
        <w:pStyle w:val="ListBullet"/>
      </w:pPr>
      <w:r>
        <w:t>[ ] Determina di approvazione dei verbali e della graduatoria</w:t>
      </w:r>
    </w:p>
    <w:p>
      <w:pPr>
        <w:pStyle w:val="ListBullet"/>
      </w:pPr>
      <w:r>
        <w:t>[ ] Pubblicazione graduatoria (decorrenza 60 giorni per ricorso TAR / 120 giorni straordinario)</w:t>
      </w:r>
    </w:p>
    <w:p>
      <w:pPr>
        <w:pStyle w:val="ListBullet"/>
      </w:pPr>
      <w:r>
        <w:t>[ ] Comunicazione esiti ai candidati</w:t>
      </w:r>
    </w:p>
    <w:p>
      <w:r>
        <w:rPr>
          <w:b/>
          <w:color w:val="991B1E"/>
          <w:sz w:val="26"/>
        </w:rPr>
        <w:t>FASE 8 — ASSUNZIONE</w:t>
      </w:r>
    </w:p>
    <w:p>
      <w:pPr>
        <w:pStyle w:val="ListBullet"/>
      </w:pPr>
      <w:r>
        <w:t>[ ] Verifica veridicità dichiarazioni del vincitore (artt. 71 e 75 DPR 445/2000)</w:t>
      </w:r>
    </w:p>
    <w:p>
      <w:pPr>
        <w:pStyle w:val="ListBullet"/>
      </w:pPr>
      <w:r>
        <w:t>[ ] Verifica iscrizione attuale all'Albo Nazionale dei Giornalisti</w:t>
      </w:r>
    </w:p>
    <w:p>
      <w:pPr>
        <w:pStyle w:val="ListBullet"/>
      </w:pPr>
      <w:r>
        <w:t>[ ] Visita medica preventiva (art. 41 c. 2 D.Lgs. 81/2008)</w:t>
      </w:r>
    </w:p>
    <w:p>
      <w:pPr>
        <w:pStyle w:val="ListBullet"/>
      </w:pPr>
      <w:r>
        <w:t>[ ] Determina di assunzione con copertura finanziaria</w:t>
      </w:r>
    </w:p>
    <w:p>
      <w:pPr>
        <w:pStyle w:val="ListBullet"/>
      </w:pPr>
      <w:r>
        <w:t>[ ] Sottoscrizione del contratto individuale di lavoro</w:t>
      </w:r>
    </w:p>
    <w:p>
      <w:pPr>
        <w:pStyle w:val="ListBullet"/>
      </w:pPr>
      <w:r>
        <w:t>[ ] Adempimenti previdenziali e assicurativi (INPS, INAIL, Casagit per giornalisti)</w:t>
      </w:r>
    </w:p>
    <w:p>
      <w:pPr>
        <w:pStyle w:val="ListBullet"/>
      </w:pPr>
      <w:r>
        <w:t>[ ] Comunicazione UNILAV entro 24 ore</w:t>
      </w:r>
    </w:p>
    <w:p>
      <w:pPr>
        <w:pStyle w:val="ListBullet"/>
      </w:pPr>
      <w:r>
        <w:t>[ ] Inizio periodo di prova: 6 mesi di servizio effettivamente prestato</w:t>
      </w:r>
    </w:p>
    <w:p>
      <w:r>
        <w:rPr>
          <w:b/>
          <w:color w:val="991B1E"/>
          <w:sz w:val="26"/>
        </w:rPr>
        <w:t>FASE 9 — POST-ASSUNZIONE</w:t>
      </w:r>
    </w:p>
    <w:p>
      <w:pPr>
        <w:pStyle w:val="ListBullet"/>
      </w:pPr>
      <w:r>
        <w:t>[ ] Formazione obbligatoria su anticorruzione, privacy, sicurezza sul lavoro</w:t>
      </w:r>
    </w:p>
    <w:p>
      <w:pPr>
        <w:pStyle w:val="ListBullet"/>
      </w:pPr>
      <w:r>
        <w:t>[ ] Consegna del Codice di comportamento e del piano triennale anticorruzione</w:t>
      </w:r>
    </w:p>
    <w:p>
      <w:pPr>
        <w:pStyle w:val="ListBullet"/>
      </w:pPr>
      <w:r>
        <w:t>[ ] Attivazione strumenti operativi (badge, postazione, accessi informatici)</w:t>
      </w:r>
    </w:p>
    <w:p>
      <w:pPr>
        <w:pStyle w:val="ListBullet"/>
      </w:pPr>
      <w:r>
        <w:t>[ ] Verifica al termine del periodo di prova (6 mesi)</w:t>
      </w:r>
    </w:p>
    <w:p>
      <w:pPr>
        <w:pStyle w:val="ListBullet"/>
      </w:pPr>
      <w:r>
        <w:t>[ ] Permanenza obbligatoria sede di prima destinazione: almeno 5 anni</w:t>
      </w:r>
    </w:p>
    <w:p/>
    <w:p>
      <w:r>
        <w:rPr>
          <w:b/>
          <w:sz w:val="22"/>
        </w:rPr>
        <w:t>RIFERIMENTI ALLEGATI (cartella DOCX)</w:t>
      </w:r>
    </w:p>
    <w:p>
      <w:pPr>
        <w:pStyle w:val="ListBullet"/>
      </w:pPr>
      <w:r>
        <w:t>01 — Deliberazione di Giunta — Piano triennale fabbisogno personale</w:t>
      </w:r>
    </w:p>
    <w:p>
      <w:pPr>
        <w:pStyle w:val="ListBullet"/>
      </w:pPr>
      <w:r>
        <w:t>02 — Comunicazione art. 34-bis D.Lgs. 165/2001</w:t>
      </w:r>
    </w:p>
    <w:p>
      <w:pPr>
        <w:pStyle w:val="ListBullet"/>
      </w:pPr>
      <w:r>
        <w:t>03 — Avviso di mobilità art. 30 D.Lgs. 165/2001</w:t>
      </w:r>
    </w:p>
    <w:p>
      <w:pPr>
        <w:pStyle w:val="ListBullet"/>
      </w:pPr>
      <w:r>
        <w:t>04 — Determina di approvazione del bando</w:t>
      </w:r>
    </w:p>
    <w:p>
      <w:pPr>
        <w:pStyle w:val="ListBullet"/>
      </w:pPr>
      <w:r>
        <w:t>05 — Bozza del bando di concorso</w:t>
      </w:r>
    </w:p>
    <w:p>
      <w:pPr>
        <w:pStyle w:val="ListBullet"/>
      </w:pPr>
      <w:r>
        <w:t>06 — Schema di domanda di partecipazione</w:t>
      </w:r>
    </w:p>
    <w:p>
      <w:pPr>
        <w:pStyle w:val="ListBullet"/>
      </w:pPr>
      <w:r>
        <w:t>07 — Informativa privacy GDPR</w:t>
      </w:r>
    </w:p>
    <w:p>
      <w:pPr>
        <w:pStyle w:val="ListBullet"/>
      </w:pPr>
      <w:r>
        <w:t>08 — Determina di nomina della Commissione</w:t>
      </w:r>
    </w:p>
    <w:p>
      <w:pPr>
        <w:pStyle w:val="ListBullet"/>
      </w:pPr>
      <w:r>
        <w:t>09 — Verbale n. 1 — Insediamento e criteri</w:t>
      </w:r>
    </w:p>
    <w:p>
      <w:pPr>
        <w:pStyle w:val="ListBullet"/>
      </w:pPr>
      <w:r>
        <w:t>10 — Verbale prova scritta</w:t>
      </w:r>
    </w:p>
    <w:p>
      <w:pPr>
        <w:pStyle w:val="ListBullet"/>
      </w:pPr>
      <w:r>
        <w:t>11 — Verbale prova orale</w:t>
      </w:r>
    </w:p>
    <w:p>
      <w:pPr>
        <w:pStyle w:val="ListBullet"/>
      </w:pPr>
      <w:r>
        <w:t>12 — Determina di approvazione graduatoria</w:t>
      </w:r>
    </w:p>
    <w:p>
      <w:pPr>
        <w:pStyle w:val="ListBullet"/>
      </w:pPr>
      <w:r>
        <w:t>13 — Determina di assunzione</w:t>
      </w:r>
    </w:p>
    <w:p>
      <w:pPr>
        <w:pStyle w:val="ListBullet"/>
      </w:pPr>
      <w:r>
        <w:t>14 — Contratto individuale di lavoro</w:t>
      </w:r>
    </w:p>
    <w:p>
      <w:pPr>
        <w:pStyle w:val="ListBullet"/>
      </w:pPr>
      <w:r>
        <w:t>15 — Checklist procedura completa (il presente documento)</w:t>
      </w:r>
    </w:p>
    <w:sectPr w:rsidR="00FC693F" w:rsidRPr="0006063C" w:rsidSect="00034616">
      <w:pgSz w:w="12240" w:h="15840"/>
      <w:pgMar w:top="1247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